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497"/>
      </w:tblGrid>
      <w:tr w:rsidR="00CE2504">
        <w:tc>
          <w:tcPr>
            <w:tcW w:w="3969" w:type="dxa"/>
            <w:vAlign w:val="center"/>
          </w:tcPr>
          <w:p w:rsidR="00CE2504" w:rsidRDefault="001540B0">
            <w:pPr>
              <w:jc w:val="center"/>
            </w:pPr>
            <w:r>
              <w:rPr>
                <w:rFonts w:cs="Calibri"/>
                <w:noProof/>
                <w:lang w:eastAsia="en-GB"/>
              </w:rPr>
              <w:drawing>
                <wp:inline distT="0" distB="0" distL="0" distR="0">
                  <wp:extent cx="2380239" cy="858074"/>
                  <wp:effectExtent l="0" t="0" r="1270" b="0"/>
                  <wp:docPr id="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321" cy="89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</w:tcPr>
          <w:p w:rsidR="00CE2504" w:rsidRDefault="001540B0">
            <w:pPr>
              <w:pStyle w:val="BriefingNoteTitle"/>
              <w:spacing w:after="0"/>
              <w:jc w:val="center"/>
              <w:rPr>
                <w:rFonts w:asciiTheme="minorHAnsi" w:hAnsiTheme="minorHAnsi"/>
                <w:b/>
                <w:sz w:val="18"/>
                <w:szCs w:val="36"/>
                <w:u w:val="single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32"/>
                <w:szCs w:val="20"/>
                <w:u w:val="single"/>
                <w:lang w:eastAsia="en-GB"/>
              </w:rPr>
              <w:t>Our Vision</w:t>
            </w:r>
          </w:p>
          <w:p w:rsidR="00CE2504" w:rsidRDefault="001540B0">
            <w:pPr>
              <w:pStyle w:val="BriefingNoteTitle"/>
              <w:spacing w:after="0"/>
              <w:jc w:val="center"/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48"/>
                <w:szCs w:val="20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0"/>
                <w:lang w:eastAsia="en-GB"/>
              </w:rPr>
              <w:t xml:space="preserve">Excellence, through God who strengthens us. </w:t>
            </w:r>
          </w:p>
          <w:p w:rsidR="00CE2504" w:rsidRDefault="001540B0">
            <w:pPr>
              <w:pStyle w:val="BriefingNoteTitle"/>
              <w:spacing w:after="0"/>
              <w:jc w:val="center"/>
              <w:rPr>
                <w:rFonts w:asciiTheme="minorHAnsi" w:eastAsia="Times New Roman" w:hAnsiTheme="minorHAnsi" w:cs="Times New Roman"/>
                <w:i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i/>
                <w:color w:val="auto"/>
                <w:sz w:val="20"/>
                <w:szCs w:val="20"/>
                <w:lang w:eastAsia="en-GB"/>
              </w:rPr>
              <w:t>Based on Philippians 4</w:t>
            </w:r>
          </w:p>
          <w:p w:rsidR="00CE2504" w:rsidRDefault="001540B0">
            <w:pPr>
              <w:jc w:val="center"/>
            </w:pPr>
            <w:r>
              <w:rPr>
                <w:i/>
                <w:sz w:val="24"/>
                <w:szCs w:val="36"/>
              </w:rPr>
              <w:t xml:space="preserve">We aim to provide the highest quality all round education, for each and every child, in partnership with parents, within the context of our Local, Learning and Christian </w:t>
            </w:r>
            <w:r>
              <w:rPr>
                <w:i/>
                <w:sz w:val="24"/>
                <w:szCs w:val="36"/>
              </w:rPr>
              <w:t>communities.</w:t>
            </w:r>
          </w:p>
        </w:tc>
      </w:tr>
    </w:tbl>
    <w:p w:rsidR="00CE2504" w:rsidRDefault="00CE2504">
      <w:pPr>
        <w:jc w:val="center"/>
      </w:pPr>
    </w:p>
    <w:p w:rsidR="00CE2504" w:rsidRDefault="001540B0">
      <w:pPr>
        <w:tabs>
          <w:tab w:val="left" w:pos="1635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Spirituality at Buckingham Park</w:t>
      </w:r>
    </w:p>
    <w:p w:rsidR="00CE2504" w:rsidRDefault="001540B0">
      <w:pPr>
        <w:tabs>
          <w:tab w:val="left" w:pos="1635"/>
        </w:tabs>
        <w:jc w:val="center"/>
      </w:pPr>
      <w:r>
        <w:t xml:space="preserve">Our </w:t>
      </w:r>
      <w:r>
        <w:rPr>
          <w:b/>
        </w:rPr>
        <w:t>spirit</w:t>
      </w:r>
      <w:r>
        <w:t xml:space="preserve"> is a part of us, not a physical part, that consists of our character and feelings. The word originates from the Latin, ‘spiritus’ meaning breath. Therefore, to be spiritual is to ‘breathe’ or exist.</w:t>
      </w:r>
      <w:r>
        <w:t xml:space="preserve"> </w:t>
      </w:r>
    </w:p>
    <w:p w:rsidR="00CE2504" w:rsidRDefault="001540B0">
      <w:pPr>
        <w:tabs>
          <w:tab w:val="left" w:pos="1635"/>
        </w:tabs>
        <w:jc w:val="center"/>
      </w:pPr>
      <w:r>
        <w:rPr>
          <w:b/>
        </w:rPr>
        <w:t>Spirituality</w:t>
      </w:r>
      <w:r>
        <w:t xml:space="preserve">, or to be </w:t>
      </w:r>
      <w:r>
        <w:rPr>
          <w:b/>
        </w:rPr>
        <w:t>spiritual</w:t>
      </w:r>
      <w:r>
        <w:t xml:space="preserve">, therefore, is actions relating to our thoughts and beliefs, being concerned with reflection, opinions, our own space in the world and our soul. </w:t>
      </w:r>
    </w:p>
    <w:p w:rsidR="00CE2504" w:rsidRDefault="001540B0">
      <w:pPr>
        <w:tabs>
          <w:tab w:val="left" w:pos="1635"/>
        </w:tabs>
        <w:jc w:val="center"/>
      </w:pPr>
      <w:r>
        <w:t>As a church school, spiritual development is separate from Moral, Social an</w:t>
      </w:r>
      <w:r>
        <w:t xml:space="preserve">d Cultural development. In our school, we use the model of Windows, Doors and Mirrors to demonstrate our ability find planned and spontaneous opportunities to be spiritual.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CE2504">
        <w:tc>
          <w:tcPr>
            <w:tcW w:w="2547" w:type="dxa"/>
            <w:vAlign w:val="center"/>
          </w:tcPr>
          <w:p w:rsidR="00CE2504" w:rsidRDefault="001540B0">
            <w:pPr>
              <w:tabs>
                <w:tab w:val="left" w:pos="1635"/>
              </w:tabs>
              <w:jc w:val="center"/>
              <w:rPr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96129" cy="819150"/>
                  <wp:effectExtent l="0" t="0" r="8890" b="0"/>
                  <wp:docPr id="1" name="Picture 1" descr="Window Royalty-free Clip art - Cartoon vector window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dow Royalty-free Clip art - Cartoon vector window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50" cy="83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vAlign w:val="center"/>
          </w:tcPr>
          <w:p w:rsidR="00CE2504" w:rsidRDefault="001540B0">
            <w:pPr>
              <w:tabs>
                <w:tab w:val="left" w:pos="1635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Windows</w:t>
            </w:r>
          </w:p>
          <w:p w:rsidR="00CE2504" w:rsidRDefault="00CE2504">
            <w:pPr>
              <w:tabs>
                <w:tab w:val="left" w:pos="1635"/>
              </w:tabs>
              <w:jc w:val="center"/>
              <w:rPr>
                <w:sz w:val="12"/>
              </w:rPr>
            </w:pPr>
          </w:p>
          <w:p w:rsidR="00CE2504" w:rsidRDefault="001540B0">
            <w:pPr>
              <w:tabs>
                <w:tab w:val="left" w:pos="1635"/>
              </w:tabs>
              <w:jc w:val="center"/>
              <w:rPr>
                <w:sz w:val="36"/>
              </w:rPr>
            </w:pPr>
            <w:r>
              <w:rPr>
                <w:sz w:val="24"/>
              </w:rPr>
              <w:t>Presenting opportunities to the children to ‘view’ something from the</w:t>
            </w:r>
            <w:r>
              <w:rPr>
                <w:sz w:val="24"/>
              </w:rPr>
              <w:t xml:space="preserve"> safety of their own school.</w:t>
            </w:r>
          </w:p>
          <w:p w:rsidR="00CE2504" w:rsidRDefault="00CE2504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CE2504">
        <w:tc>
          <w:tcPr>
            <w:tcW w:w="10456" w:type="dxa"/>
            <w:gridSpan w:val="2"/>
            <w:vAlign w:val="center"/>
          </w:tcPr>
          <w:p w:rsidR="00CE2504" w:rsidRDefault="001540B0">
            <w:p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Examples of windows within the school include:</w:t>
            </w:r>
          </w:p>
          <w:p w:rsidR="00CE2504" w:rsidRDefault="001540B0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Access to information, videos, photos and communication with our link school, </w:t>
            </w:r>
            <w:proofErr w:type="spellStart"/>
            <w:r>
              <w:rPr>
                <w:sz w:val="24"/>
              </w:rPr>
              <w:t>Nyandiwa</w:t>
            </w:r>
            <w:proofErr w:type="spellEnd"/>
            <w:r>
              <w:rPr>
                <w:sz w:val="24"/>
              </w:rPr>
              <w:t xml:space="preserve"> in Kenya. </w:t>
            </w:r>
          </w:p>
          <w:p w:rsidR="00CE2504" w:rsidRDefault="001540B0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Collective Worships focussing on key events such as charity events, national awa</w:t>
            </w:r>
            <w:r>
              <w:rPr>
                <w:sz w:val="24"/>
              </w:rPr>
              <w:t xml:space="preserve">reness days and national holidays. </w:t>
            </w:r>
          </w:p>
          <w:p w:rsidR="00CE2504" w:rsidRDefault="001540B0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Curriculum content focussing on key worldwide events – climate change, deforestation, inclusion etc.</w:t>
            </w:r>
          </w:p>
        </w:tc>
      </w:tr>
      <w:tr w:rsidR="00CE2504">
        <w:tc>
          <w:tcPr>
            <w:tcW w:w="2547" w:type="dxa"/>
            <w:vAlign w:val="center"/>
          </w:tcPr>
          <w:p w:rsidR="00CE2504" w:rsidRDefault="001540B0">
            <w:pPr>
              <w:tabs>
                <w:tab w:val="left" w:pos="1635"/>
              </w:tabs>
              <w:jc w:val="center"/>
              <w:rPr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8151" cy="1192881"/>
                  <wp:effectExtent l="0" t="0" r="0" b="7620"/>
                  <wp:docPr id="2" name="Picture 2" descr="Open door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en door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10" cy="121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vAlign w:val="center"/>
          </w:tcPr>
          <w:p w:rsidR="00CE2504" w:rsidRDefault="001540B0">
            <w:pPr>
              <w:tabs>
                <w:tab w:val="left" w:pos="1635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Doors</w:t>
            </w:r>
          </w:p>
          <w:p w:rsidR="00CE2504" w:rsidRDefault="00CE2504">
            <w:pPr>
              <w:tabs>
                <w:tab w:val="left" w:pos="1635"/>
              </w:tabs>
              <w:jc w:val="center"/>
              <w:rPr>
                <w:sz w:val="12"/>
              </w:rPr>
            </w:pPr>
          </w:p>
          <w:p w:rsidR="00CE2504" w:rsidRDefault="001540B0">
            <w:p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Staff opening doors for our children to engage in spiritual thinking, to engage in wider world events or to w</w:t>
            </w:r>
            <w:r>
              <w:rPr>
                <w:sz w:val="24"/>
              </w:rPr>
              <w:t>ork alongside others from outside our school walls.</w:t>
            </w:r>
          </w:p>
        </w:tc>
      </w:tr>
      <w:tr w:rsidR="00CE2504">
        <w:tc>
          <w:tcPr>
            <w:tcW w:w="10456" w:type="dxa"/>
            <w:gridSpan w:val="2"/>
            <w:vAlign w:val="center"/>
          </w:tcPr>
          <w:p w:rsidR="00CE2504" w:rsidRDefault="001540B0">
            <w:p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Examples of Doors within the school include:</w:t>
            </w:r>
          </w:p>
          <w:p w:rsidR="00CE2504" w:rsidRDefault="001540B0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Extra-curricular trips and events – Paralympic celebration events, in-house experience days, inter school competition</w:t>
            </w:r>
          </w:p>
          <w:p w:rsidR="00CE2504" w:rsidRDefault="001540B0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Community Events - Planting the local </w:t>
            </w:r>
            <w:r>
              <w:rPr>
                <w:sz w:val="24"/>
              </w:rPr>
              <w:t>Greenway, links with the local care home and charities</w:t>
            </w:r>
          </w:p>
          <w:p w:rsidR="00CE2504" w:rsidRDefault="001540B0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Sporting competitions, events and access to new sports – lacrosse, wheelchair basketball, yoga. </w:t>
            </w:r>
          </w:p>
        </w:tc>
      </w:tr>
      <w:tr w:rsidR="00CE2504">
        <w:tc>
          <w:tcPr>
            <w:tcW w:w="2547" w:type="dxa"/>
            <w:vAlign w:val="center"/>
          </w:tcPr>
          <w:p w:rsidR="00CE2504" w:rsidRDefault="001540B0">
            <w:pPr>
              <w:tabs>
                <w:tab w:val="left" w:pos="1635"/>
              </w:tabs>
              <w:jc w:val="center"/>
              <w:rPr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6898" cy="1070434"/>
                  <wp:effectExtent l="0" t="6350" r="0" b="3175"/>
                  <wp:docPr id="4" name="Picture 4" descr="Gold Frames - Mirror Clipart - Free Transparent PNG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old Frames - Mirror Clipart - Free Transparent PNG Clipart Images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8" t="6970" r="14190" b="7824"/>
                          <a:stretch/>
                        </pic:blipFill>
                        <pic:spPr bwMode="auto">
                          <a:xfrm rot="5400000">
                            <a:off x="0" y="0"/>
                            <a:ext cx="892003" cy="110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vAlign w:val="center"/>
          </w:tcPr>
          <w:p w:rsidR="00CE2504" w:rsidRDefault="001540B0">
            <w:pPr>
              <w:tabs>
                <w:tab w:val="left" w:pos="1635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Mirrors</w:t>
            </w:r>
          </w:p>
          <w:p w:rsidR="00CE2504" w:rsidRDefault="00CE2504">
            <w:pPr>
              <w:tabs>
                <w:tab w:val="left" w:pos="1635"/>
              </w:tabs>
              <w:jc w:val="center"/>
              <w:rPr>
                <w:sz w:val="12"/>
              </w:rPr>
            </w:pPr>
          </w:p>
          <w:p w:rsidR="00CE2504" w:rsidRDefault="001540B0">
            <w:p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Opportunities for us to reflect on our learning, our lives, our opinions and to question how</w:t>
            </w:r>
            <w:r>
              <w:rPr>
                <w:sz w:val="24"/>
              </w:rPr>
              <w:t xml:space="preserve"> these things make us feel.</w:t>
            </w:r>
          </w:p>
        </w:tc>
      </w:tr>
      <w:tr w:rsidR="00CE2504">
        <w:tc>
          <w:tcPr>
            <w:tcW w:w="10456" w:type="dxa"/>
            <w:gridSpan w:val="2"/>
            <w:vAlign w:val="center"/>
          </w:tcPr>
          <w:p w:rsidR="00CE2504" w:rsidRDefault="001540B0">
            <w:p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Examples of Mirrors within the school include:</w:t>
            </w:r>
          </w:p>
          <w:p w:rsidR="00CE2504" w:rsidRDefault="001540B0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Tuesday and Thursday ‘Reflect’ sessions as a part of our Collective Worship offer.</w:t>
            </w:r>
          </w:p>
          <w:p w:rsidR="00CE2504" w:rsidRDefault="001540B0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Opportunities to reflect and pause during Collective Worship</w:t>
            </w:r>
          </w:p>
          <w:p w:rsidR="00CE2504" w:rsidRDefault="001540B0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Consider and review the impact of le</w:t>
            </w:r>
            <w:r>
              <w:rPr>
                <w:sz w:val="24"/>
              </w:rPr>
              <w:t>arning opportunities in curriculum lessons.</w:t>
            </w:r>
          </w:p>
        </w:tc>
      </w:tr>
    </w:tbl>
    <w:p w:rsidR="00CE2504" w:rsidRDefault="00CE2504">
      <w:pPr>
        <w:tabs>
          <w:tab w:val="left" w:pos="1635"/>
        </w:tabs>
        <w:jc w:val="center"/>
        <w:rPr>
          <w:sz w:val="36"/>
        </w:rPr>
      </w:pPr>
    </w:p>
    <w:p w:rsidR="00CE2504" w:rsidRDefault="00CE2504">
      <w:pPr>
        <w:tabs>
          <w:tab w:val="left" w:pos="1635"/>
        </w:tabs>
        <w:jc w:val="center"/>
        <w:rPr>
          <w:b/>
          <w:sz w:val="32"/>
        </w:rPr>
      </w:pPr>
    </w:p>
    <w:p w:rsidR="00CE2504" w:rsidRDefault="001540B0">
      <w:pPr>
        <w:tabs>
          <w:tab w:val="left" w:pos="1635"/>
        </w:tabs>
        <w:jc w:val="center"/>
        <w:rPr>
          <w:b/>
          <w:sz w:val="32"/>
        </w:rPr>
      </w:pPr>
      <w:r>
        <w:rPr>
          <w:b/>
          <w:sz w:val="32"/>
        </w:rPr>
        <w:t>Collective Worship and Spirituality</w:t>
      </w:r>
    </w:p>
    <w:p w:rsidR="00CE2504" w:rsidRDefault="001540B0">
      <w:pPr>
        <w:tabs>
          <w:tab w:val="left" w:pos="1635"/>
        </w:tabs>
        <w:jc w:val="center"/>
        <w:rPr>
          <w:sz w:val="24"/>
        </w:rPr>
      </w:pPr>
      <w:r>
        <w:rPr>
          <w:sz w:val="24"/>
        </w:rPr>
        <w:t>Collective Worship is a crucial and important part of the life of our school. It is worth recognising that Spirituality is not tied inextricably to religion; we all have opportunities to be spiritual in school and out of school irrespective of our religiou</w:t>
      </w:r>
      <w:r>
        <w:rPr>
          <w:sz w:val="24"/>
        </w:rPr>
        <w:t xml:space="preserve">s beliefs. That being said, Collective Worship provides a useful vehicle for promoting spirituality. </w:t>
      </w:r>
    </w:p>
    <w:p w:rsidR="00CE2504" w:rsidRDefault="001540B0">
      <w:pPr>
        <w:tabs>
          <w:tab w:val="left" w:pos="1635"/>
        </w:tabs>
        <w:jc w:val="center"/>
        <w:rPr>
          <w:sz w:val="24"/>
        </w:rPr>
      </w:pPr>
      <w:r>
        <w:rPr>
          <w:sz w:val="24"/>
        </w:rPr>
        <w:t>Through different worship times, we offer children opportunities to lead and engage in discussion about things on a local, national and international leve</w:t>
      </w:r>
      <w:r>
        <w:rPr>
          <w:sz w:val="24"/>
        </w:rPr>
        <w:t>l, opening doors and windows into other world experiences. Through the use of song and music, we offer multicultural and inter-genre opportunities for children to experience diversity in an inclusive and invitational setting. Through prayer, and opportunit</w:t>
      </w:r>
      <w:r>
        <w:rPr>
          <w:sz w:val="24"/>
        </w:rPr>
        <w:t xml:space="preserve">ies to pause and reflect, we allow children to consider their own thoughts, opinions and feelings by looking in the ‘mirrors’ these opportunities pose. </w:t>
      </w:r>
      <w:bookmarkStart w:id="0" w:name="_GoBack"/>
      <w:bookmarkEnd w:id="0"/>
    </w:p>
    <w:sectPr w:rsidR="00CE2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E3C"/>
    <w:multiLevelType w:val="hybridMultilevel"/>
    <w:tmpl w:val="77CC6C80"/>
    <w:lvl w:ilvl="0" w:tplc="C6CE80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04"/>
    <w:rsid w:val="001540B0"/>
    <w:rsid w:val="00C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ingNoteTitle">
    <w:name w:val="Briefing Note Title"/>
    <w:basedOn w:val="Title"/>
    <w:qFormat/>
    <w:pPr>
      <w:spacing w:after="280"/>
      <w:contextualSpacing w:val="0"/>
    </w:pPr>
    <w:rPr>
      <w:rFonts w:ascii="Gill Sans MT" w:eastAsiaTheme="minorHAnsi" w:hAnsi="Gill Sans MT" w:cstheme="minorBidi"/>
      <w:color w:val="00257A"/>
      <w:spacing w:val="0"/>
      <w:kern w:val="0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ingNoteTitle">
    <w:name w:val="Briefing Note Title"/>
    <w:basedOn w:val="Title"/>
    <w:qFormat/>
    <w:pPr>
      <w:spacing w:after="280"/>
      <w:contextualSpacing w:val="0"/>
    </w:pPr>
    <w:rPr>
      <w:rFonts w:ascii="Gill Sans MT" w:eastAsiaTheme="minorHAnsi" w:hAnsi="Gill Sans MT" w:cstheme="minorBidi"/>
      <w:color w:val="00257A"/>
      <w:spacing w:val="0"/>
      <w:kern w:val="0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518B-D9AE-4EB7-970B-D37BA6F4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BuckinghamPark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Fell</dc:creator>
  <cp:lastModifiedBy>Steph Lowe</cp:lastModifiedBy>
  <cp:revision>2</cp:revision>
  <dcterms:created xsi:type="dcterms:W3CDTF">2023-02-28T10:52:00Z</dcterms:created>
  <dcterms:modified xsi:type="dcterms:W3CDTF">2023-02-28T10:52:00Z</dcterms:modified>
</cp:coreProperties>
</file>